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6732" w14:textId="0286FBAC" w:rsidR="00357822" w:rsidRPr="00521F32" w:rsidRDefault="004F2721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7030A0"/>
          <w:sz w:val="32"/>
          <w:szCs w:val="32"/>
        </w:rPr>
      </w:pPr>
      <w:r w:rsidRPr="00521F32">
        <w:rPr>
          <w:rFonts w:ascii="Calibri" w:hAnsi="Calibri"/>
          <w:b/>
          <w:color w:val="7030A0"/>
          <w:sz w:val="32"/>
          <w:szCs w:val="32"/>
        </w:rPr>
        <w:t>Lire pour l’égalité</w:t>
      </w:r>
    </w:p>
    <w:p w14:paraId="2836C674" w14:textId="77777777" w:rsidR="00357822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58680916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Thème : </w:t>
      </w:r>
    </w:p>
    <w:p w14:paraId="2A316CA2" w14:textId="2049DC32" w:rsidR="004835B0" w:rsidRPr="009D5D2A" w:rsidRDefault="004F2721" w:rsidP="004835B0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Egalité femmes/Hommes</w:t>
      </w:r>
    </w:p>
    <w:p w14:paraId="45213BF2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27059C7D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Descriptif général : </w:t>
      </w:r>
    </w:p>
    <w:p w14:paraId="50DC6A73" w14:textId="64A969CA" w:rsidR="005254F7" w:rsidRPr="00DC2E88" w:rsidRDefault="004F2721" w:rsidP="005254F7">
      <w:pPr>
        <w:autoSpaceDE w:val="0"/>
        <w:autoSpaceDN w:val="0"/>
        <w:adjustRightInd w:val="0"/>
        <w:rPr>
          <w:rFonts w:asciiTheme="minorHAnsi" w:hAnsiTheme="minorHAnsi"/>
          <w:i/>
          <w:iCs/>
          <w:color w:val="7030A0"/>
        </w:rPr>
      </w:pPr>
      <w:r w:rsidRPr="00DC2E88">
        <w:rPr>
          <w:rFonts w:asciiTheme="minorHAnsi" w:hAnsiTheme="minorHAnsi"/>
          <w:i/>
          <w:iCs/>
          <w:color w:val="7030A0"/>
        </w:rPr>
        <w:t xml:space="preserve">L’exposition permettra d’ouvrir le débat avec les lecteurs et lectrices </w:t>
      </w:r>
      <w:r w:rsidR="00521F32" w:rsidRPr="00DC2E88">
        <w:rPr>
          <w:rFonts w:asciiTheme="minorHAnsi" w:hAnsiTheme="minorHAnsi"/>
          <w:i/>
          <w:iCs/>
          <w:color w:val="7030A0"/>
        </w:rPr>
        <w:t>à partir de 5</w:t>
      </w:r>
      <w:r w:rsidRPr="00DC2E88">
        <w:rPr>
          <w:rFonts w:asciiTheme="minorHAnsi" w:hAnsiTheme="minorHAnsi"/>
          <w:i/>
          <w:iCs/>
          <w:color w:val="7030A0"/>
        </w:rPr>
        <w:t xml:space="preserve"> ans qui pourront échanger sur leur quotidien et les préjugés ou discriminations sexistes auxquels ils et elles font face. L’exposition a pour ambition de leur apprendre à y répondre, à s’en affranchir et à les dénoncer</w:t>
      </w:r>
    </w:p>
    <w:p w14:paraId="524C46C5" w14:textId="3BB886A9" w:rsidR="005E79CA" w:rsidRPr="00DC2E88" w:rsidRDefault="005E79CA" w:rsidP="005254F7">
      <w:pPr>
        <w:autoSpaceDE w:val="0"/>
        <w:autoSpaceDN w:val="0"/>
        <w:adjustRightInd w:val="0"/>
        <w:rPr>
          <w:rFonts w:asciiTheme="minorHAnsi" w:hAnsiTheme="minorHAnsi"/>
          <w:i/>
          <w:iCs/>
          <w:color w:val="7030A0"/>
        </w:rPr>
      </w:pPr>
      <w:r w:rsidRPr="00DC2E88">
        <w:rPr>
          <w:rFonts w:asciiTheme="minorHAnsi" w:hAnsiTheme="minorHAnsi"/>
          <w:i/>
          <w:iCs/>
          <w:color w:val="7030A0"/>
        </w:rPr>
        <w:t>Chaque panneau est consacré à un thème illustré par un livre</w:t>
      </w:r>
    </w:p>
    <w:p w14:paraId="314D8BDF" w14:textId="77777777" w:rsidR="004F2721" w:rsidRPr="009D5D2A" w:rsidRDefault="004F2721" w:rsidP="005254F7">
      <w:pPr>
        <w:autoSpaceDE w:val="0"/>
        <w:autoSpaceDN w:val="0"/>
        <w:adjustRightInd w:val="0"/>
        <w:rPr>
          <w:rFonts w:asciiTheme="minorHAnsi" w:hAnsiTheme="minorHAnsi"/>
          <w:color w:val="ED7D31" w:themeColor="accent2"/>
        </w:rPr>
      </w:pPr>
    </w:p>
    <w:p w14:paraId="32EC8DF4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Coproduction :</w:t>
      </w:r>
    </w:p>
    <w:p w14:paraId="3D036B43" w14:textId="141D9616" w:rsidR="004F2721" w:rsidRDefault="0057361E" w:rsidP="0057361E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 xml:space="preserve">Talents Hauts/Amnesty International </w:t>
      </w:r>
    </w:p>
    <w:p w14:paraId="4E137DC4" w14:textId="77777777" w:rsidR="0057361E" w:rsidRDefault="0057361E" w:rsidP="0057361E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20302218" w14:textId="012B9E68" w:rsidR="004835B0" w:rsidRDefault="005254F7" w:rsidP="0057361E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Année de réalisation : </w:t>
      </w:r>
    </w:p>
    <w:p w14:paraId="618706D2" w14:textId="5AAE626C" w:rsidR="0057361E" w:rsidRDefault="0057361E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 w:rsidRPr="0057361E">
        <w:rPr>
          <w:rFonts w:ascii="Calibri" w:hAnsi="Calibri"/>
          <w:color w:val="000000"/>
          <w:sz w:val="23"/>
          <w:szCs w:val="23"/>
        </w:rPr>
        <w:t>2005</w:t>
      </w:r>
    </w:p>
    <w:p w14:paraId="6F02AD1C" w14:textId="54B8103E" w:rsidR="00006FA7" w:rsidRDefault="00006FA7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14:paraId="34540B24" w14:textId="32A3C2B2" w:rsidR="00006FA7" w:rsidRDefault="00006FA7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F38A13C" wp14:editId="4ABDB774">
            <wp:extent cx="1311172" cy="172720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90" cy="17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A358" w14:textId="0D39127D" w:rsidR="004835B0" w:rsidRPr="0057361E" w:rsidRDefault="004835B0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rFonts w:asciiTheme="minorHAnsi" w:hAnsiTheme="minorHAnsi"/>
          <w:color w:val="ED7D31" w:themeColor="accent2"/>
        </w:rPr>
        <w:t xml:space="preserve">           </w:t>
      </w:r>
      <w:r>
        <w:rPr>
          <w:rFonts w:asciiTheme="minorHAnsi" w:hAnsiTheme="minorHAnsi"/>
          <w:noProof/>
          <w:color w:val="ED7D31" w:themeColor="accent2"/>
        </w:rPr>
        <w:t xml:space="preserve">    </w:t>
      </w:r>
      <w:r>
        <w:rPr>
          <w:rFonts w:asciiTheme="minorHAnsi" w:hAnsiTheme="minorHAnsi"/>
          <w:color w:val="ED7D31" w:themeColor="accent2"/>
        </w:rPr>
        <w:t xml:space="preserve"> </w:t>
      </w:r>
    </w:p>
    <w:p w14:paraId="07BF62C1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Nombre de panneaux :</w:t>
      </w:r>
    </w:p>
    <w:p w14:paraId="543C3C49" w14:textId="5CDE8479" w:rsidR="005254F7" w:rsidRPr="009D5D2A" w:rsidRDefault="004F2721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12</w:t>
      </w:r>
    </w:p>
    <w:p w14:paraId="25E1A2E0" w14:textId="77777777" w:rsidR="005254F7" w:rsidRPr="009D5D2A" w:rsidRDefault="005254F7" w:rsidP="005254F7">
      <w:pPr>
        <w:autoSpaceDE w:val="0"/>
        <w:autoSpaceDN w:val="0"/>
        <w:adjustRightInd w:val="0"/>
        <w:rPr>
          <w:rFonts w:asciiTheme="minorHAnsi" w:hAnsiTheme="minorHAnsi"/>
          <w:color w:val="auto"/>
        </w:rPr>
      </w:pPr>
    </w:p>
    <w:p w14:paraId="5C32237F" w14:textId="77777777" w:rsidR="005254F7" w:rsidRPr="009D5D2A" w:rsidRDefault="005254F7" w:rsidP="005254F7">
      <w:pPr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Titre des panneaux :</w:t>
      </w:r>
    </w:p>
    <w:p w14:paraId="39A378AF" w14:textId="69FC8738" w:rsidR="004F2721" w:rsidRPr="004F2721" w:rsidRDefault="004F2721" w:rsidP="004F2721">
      <w:p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Chaque panneau est consacré à un thème illustré par un livr</w:t>
      </w:r>
      <w:r>
        <w:rPr>
          <w:rFonts w:asciiTheme="minorHAnsi" w:hAnsiTheme="minorHAnsi"/>
          <w:color w:val="000000"/>
          <w:sz w:val="22"/>
          <w:szCs w:val="22"/>
        </w:rPr>
        <w:t>e</w:t>
      </w:r>
    </w:p>
    <w:p w14:paraId="4F59A139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Soigner son apparence</w:t>
      </w:r>
    </w:p>
    <w:p w14:paraId="3C8AE4C5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Être soi-même</w:t>
      </w:r>
    </w:p>
    <w:p w14:paraId="377723F9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Exprimer ses émotions</w:t>
      </w:r>
    </w:p>
    <w:p w14:paraId="70ABC917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Exercer ses compétences</w:t>
      </w:r>
    </w:p>
    <w:p w14:paraId="094E7C0F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Jouer, pratiquer ses activités préférées• Partager les tâches du quotidien</w:t>
      </w:r>
    </w:p>
    <w:p w14:paraId="22F9F2F0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Vivre en famille</w:t>
      </w:r>
    </w:p>
    <w:p w14:paraId="69E9B076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Résister, dire « non »</w:t>
      </w:r>
    </w:p>
    <w:p w14:paraId="45237F73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Revendiquer ses droits</w:t>
      </w:r>
    </w:p>
    <w:p w14:paraId="7DDD3DC8" w14:textId="77777777" w:rsidR="004F2721" w:rsidRPr="004F2721" w:rsidRDefault="004F2721" w:rsidP="004F2721">
      <w:pPr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  <w:r w:rsidRPr="004F2721">
        <w:rPr>
          <w:rFonts w:asciiTheme="minorHAnsi" w:hAnsiTheme="minorHAnsi"/>
          <w:color w:val="000000"/>
          <w:sz w:val="22"/>
          <w:szCs w:val="22"/>
        </w:rPr>
        <w:t>Être du genre humain</w:t>
      </w:r>
    </w:p>
    <w:p w14:paraId="3D6B926E" w14:textId="77777777" w:rsidR="00084BDE" w:rsidRPr="009D5D2A" w:rsidRDefault="00084BDE" w:rsidP="00084BDE">
      <w:pPr>
        <w:shd w:val="clear" w:color="auto" w:fill="FFFFFF"/>
        <w:rPr>
          <w:color w:val="333333"/>
        </w:rPr>
      </w:pPr>
    </w:p>
    <w:p w14:paraId="745D018B" w14:textId="252D8E44" w:rsidR="004F2721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Types de panneaux : </w:t>
      </w:r>
    </w:p>
    <w:p w14:paraId="25081A57" w14:textId="4DC6E62B" w:rsidR="005254F7" w:rsidRPr="001075B0" w:rsidRDefault="004F2721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Bâche avec œillet</w:t>
      </w:r>
    </w:p>
    <w:p w14:paraId="42E7426A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Dimensions en cm des panneaux : </w:t>
      </w:r>
    </w:p>
    <w:p w14:paraId="37BCBD27" w14:textId="6B33B0AF" w:rsidR="005254F7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 xml:space="preserve"> </w:t>
      </w:r>
      <w:r w:rsidR="001075B0">
        <w:rPr>
          <w:rFonts w:ascii="Calibri" w:hAnsi="Calibri"/>
          <w:bCs/>
          <w:color w:val="000000"/>
          <w:sz w:val="23"/>
          <w:szCs w:val="23"/>
        </w:rPr>
        <w:t>60 x 80</w:t>
      </w:r>
      <w:r w:rsidRPr="009D5D2A">
        <w:rPr>
          <w:rFonts w:ascii="Calibri" w:hAnsi="Calibri"/>
          <w:bCs/>
          <w:color w:val="000000"/>
          <w:sz w:val="23"/>
          <w:szCs w:val="23"/>
        </w:rPr>
        <w:t xml:space="preserve"> cm</w:t>
      </w:r>
    </w:p>
    <w:p w14:paraId="390E17B8" w14:textId="77777777" w:rsidR="00006FA7" w:rsidRPr="001075B0" w:rsidRDefault="00006FA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5EB16353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lastRenderedPageBreak/>
        <w:t xml:space="preserve">Mode d’accrochage : </w:t>
      </w:r>
    </w:p>
    <w:p w14:paraId="563C3F0B" w14:textId="4F9BCEEC" w:rsidR="005254F7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 xml:space="preserve"> Œillets</w:t>
      </w:r>
    </w:p>
    <w:p w14:paraId="275E11C5" w14:textId="77777777" w:rsidR="001075B0" w:rsidRDefault="001075B0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6356E01F" w14:textId="77777777" w:rsidR="001075B0" w:rsidRDefault="001075B0" w:rsidP="00107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Conditionnement </w:t>
      </w:r>
      <w:r w:rsidRPr="009D5D2A">
        <w:rPr>
          <w:rFonts w:ascii="Calibri" w:hAnsi="Calibri"/>
          <w:b/>
          <w:bCs/>
          <w:color w:val="000000"/>
          <w:sz w:val="23"/>
          <w:szCs w:val="23"/>
        </w:rPr>
        <w:t>:</w:t>
      </w:r>
    </w:p>
    <w:p w14:paraId="4D201873" w14:textId="5CCCB5BF" w:rsidR="001075B0" w:rsidRPr="0057361E" w:rsidRDefault="001075B0" w:rsidP="005254F7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 w:rsidRPr="001075B0">
        <w:rPr>
          <w:rFonts w:ascii="Calibri" w:hAnsi="Calibri"/>
          <w:color w:val="000000"/>
          <w:sz w:val="23"/>
          <w:szCs w:val="23"/>
        </w:rPr>
        <w:t>Rouleau</w:t>
      </w:r>
    </w:p>
    <w:p w14:paraId="0D1B200E" w14:textId="3CCBC445" w:rsidR="005E79CA" w:rsidRDefault="005E79CA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70357191" w14:textId="4D52C27C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7AFBDDCB" w14:textId="2B78B147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5035C66F" w14:textId="3A0A81C4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40211631" w14:textId="505D3569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22D6CE4B" w14:textId="25B4E239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2757696B" w14:textId="77777777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7B5CC027" w14:textId="158792E5" w:rsidR="005E79CA" w:rsidRPr="005E79CA" w:rsidRDefault="005E79CA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>L</w:t>
      </w:r>
      <w:r w:rsidRPr="005E79CA">
        <w:rPr>
          <w:rFonts w:ascii="Calibri" w:hAnsi="Calibri"/>
          <w:b/>
          <w:bCs/>
          <w:color w:val="000000"/>
          <w:sz w:val="23"/>
          <w:szCs w:val="23"/>
        </w:rPr>
        <w:t>ivres de l'exposition :</w:t>
      </w:r>
    </w:p>
    <w:p w14:paraId="304483EB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8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Aimé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 Claire Clément &amp; Benjamin Strickler</w:t>
      </w:r>
    </w:p>
    <w:p w14:paraId="4F8589A4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9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Alphonse, le lion qui ne pleurait jamais,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 Yeshil Kim &amp; Anna Ladecka</w:t>
      </w:r>
    </w:p>
    <w:p w14:paraId="50FE260E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0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Blanche-Neige et les 77 nains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Davide Cali &amp; Raphaëlle Barbanègre</w:t>
      </w:r>
    </w:p>
    <w:p w14:paraId="4106B9E2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1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Comme une princesse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Brigitte Minne &amp; Merel Eycherman</w:t>
      </w:r>
    </w:p>
    <w:p w14:paraId="3A15E1ED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2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Contes d'un autre genre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G. Aymon &amp; F. Bourgeon, N. Ribard, S. Serprix</w:t>
      </w:r>
    </w:p>
    <w:p w14:paraId="74891E3B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3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déclaration des droits des filles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Estelle Billon-Spagnol</w:t>
      </w:r>
    </w:p>
    <w:p w14:paraId="4B59B52B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4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déclaration des droits des garçons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Estelle Billon-Spagnol</w:t>
      </w:r>
    </w:p>
    <w:p w14:paraId="4B8816A6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5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déclaration des droits des mamans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Estelle Billon-Spagnol</w:t>
      </w:r>
    </w:p>
    <w:p w14:paraId="3ED9CAF3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6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déclaration des droits des papas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Estelle Billon-Spagnol</w:t>
      </w:r>
    </w:p>
    <w:p w14:paraId="444BB4A7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7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Dînette dans le tractopelle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Christos &amp; Mélanie Grandgirard</w:t>
      </w:r>
    </w:p>
    <w:p w14:paraId="275E457C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8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Le fils des géants,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 Gaël Aymon &amp; Lucie Rioland</w:t>
      </w:r>
    </w:p>
    <w:p w14:paraId="669C5F37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19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Les haïkus de Leira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Concours Lire Égaux &amp; Violaine Costa</w:t>
      </w:r>
    </w:p>
    <w:p w14:paraId="17FDB187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0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J'ai mal aux maths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Rémi Courgeon</w:t>
      </w:r>
    </w:p>
    <w:p w14:paraId="7A9034C6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1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J'aime pas être belle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Stéphanie Richard &amp; Gwenaëlle Doumont</w:t>
      </w:r>
    </w:p>
    <w:p w14:paraId="09457AA2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2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Ma mère est maire,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 Florence Hinckel &amp; Pauline Duhamel</w:t>
      </w:r>
    </w:p>
    <w:p w14:paraId="497E3F24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3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Le meilleur cow-boy de l'Ouest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Fred L.</w:t>
      </w:r>
    </w:p>
    <w:p w14:paraId="0B491AF4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4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patrouille des oies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Viviane Faudi-Khourdifi &amp; Gaëlle Hersent</w:t>
      </w:r>
    </w:p>
    <w:p w14:paraId="0E9BB213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5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Philo mène la danse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Séverine Vidal &amp; Mayana Itoïz</w:t>
      </w:r>
    </w:p>
    <w:p w14:paraId="060B358F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6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princesse et le dragon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Robert Munsch &amp; Michael Martchenko</w:t>
      </w:r>
    </w:p>
    <w:p w14:paraId="77125A54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7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La révolte des cocottes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Adèle Tariel &amp; Céline Riffard</w:t>
      </w:r>
    </w:p>
    <w:p w14:paraId="16204F3D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8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Le zizi des mots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Fred L.</w:t>
      </w:r>
    </w:p>
    <w:p w14:paraId="708CA169" w14:textId="77777777" w:rsidR="005E79CA" w:rsidRPr="005E79CA" w:rsidRDefault="00006FA7" w:rsidP="005E79C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hyperlink r:id="rId29" w:history="1">
        <w:r w:rsidR="005E79CA" w:rsidRPr="005E79CA">
          <w:rPr>
            <w:rStyle w:val="Lienhypertexte"/>
            <w:rFonts w:ascii="Calibri" w:hAnsi="Calibri"/>
            <w:sz w:val="23"/>
            <w:szCs w:val="23"/>
            <w:u w:val="none"/>
          </w:rPr>
          <w:t>Le zizi des mots 2</w:t>
        </w:r>
      </w:hyperlink>
      <w:r w:rsidR="005E79CA" w:rsidRPr="005E79CA">
        <w:rPr>
          <w:rFonts w:ascii="Calibri" w:hAnsi="Calibri"/>
          <w:color w:val="000000"/>
          <w:sz w:val="23"/>
          <w:szCs w:val="23"/>
        </w:rPr>
        <w:t>, Élisabeth Brami &amp; Fred L.</w:t>
      </w:r>
    </w:p>
    <w:p w14:paraId="37A3DAC6" w14:textId="77777777" w:rsidR="005E79CA" w:rsidRPr="005E79CA" w:rsidRDefault="005E79CA" w:rsidP="005254F7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477A5925" w14:textId="7326479C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Nombre de jeux d’expositions : </w:t>
      </w:r>
    </w:p>
    <w:p w14:paraId="3BBACB4A" w14:textId="144E1580" w:rsidR="005254F7" w:rsidRPr="009D5D2A" w:rsidRDefault="001075B0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</w:t>
      </w:r>
    </w:p>
    <w:p w14:paraId="431FDC96" w14:textId="6FD4BD6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Lieu de stockage :</w:t>
      </w:r>
    </w:p>
    <w:p w14:paraId="385E3D09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 xml:space="preserve"> DCEPS</w:t>
      </w:r>
    </w:p>
    <w:p w14:paraId="1258543F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61A49D6C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03381C58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1AA402DC" w14:textId="77777777" w:rsidR="005254F7" w:rsidRPr="009D5D2A" w:rsidRDefault="005254F7" w:rsidP="005254F7"/>
    <w:p w14:paraId="210E6FD1" w14:textId="77777777"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14:paraId="41E470C1" w14:textId="77777777"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73C66F0E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1E9F6F36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657A3FA9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1DE91674" w14:textId="77777777" w:rsidR="00CF0683" w:rsidRPr="009D5D2A" w:rsidRDefault="00CF0683"/>
    <w:sectPr w:rsidR="00CF0683" w:rsidRPr="009D5D2A" w:rsidSect="00C1223A">
      <w:headerReference w:type="default" r:id="rId30"/>
      <w:footerReference w:type="default" r:id="rId31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81A6" w14:textId="77777777" w:rsidR="00553493" w:rsidRDefault="00553493">
      <w:r>
        <w:separator/>
      </w:r>
    </w:p>
  </w:endnote>
  <w:endnote w:type="continuationSeparator" w:id="0">
    <w:p w14:paraId="2865A0C8" w14:textId="77777777" w:rsidR="00553493" w:rsidRDefault="005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8B87" w14:textId="77777777" w:rsidR="00C71B3E" w:rsidRPr="00C71B3E" w:rsidRDefault="0032196F" w:rsidP="00C71B3E">
    <w:pPr>
      <w:pStyle w:val="Pieddepage"/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44C75D5" wp14:editId="6451665C">
          <wp:simplePos x="0" y="0"/>
          <wp:positionH relativeFrom="column">
            <wp:posOffset>5059680</wp:posOffset>
          </wp:positionH>
          <wp:positionV relativeFrom="paragraph">
            <wp:posOffset>-161290</wp:posOffset>
          </wp:positionV>
          <wp:extent cx="800100" cy="329565"/>
          <wp:effectExtent l="0" t="0" r="0" b="0"/>
          <wp:wrapNone/>
          <wp:docPr id="4" name="Image 4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1D0CC89" wp14:editId="624379EF">
          <wp:simplePos x="0" y="0"/>
          <wp:positionH relativeFrom="column">
            <wp:posOffset>4229100</wp:posOffset>
          </wp:positionH>
          <wp:positionV relativeFrom="paragraph">
            <wp:posOffset>40005</wp:posOffset>
          </wp:positionV>
          <wp:extent cx="352425" cy="415290"/>
          <wp:effectExtent l="0" t="0" r="9525" b="3810"/>
          <wp:wrapNone/>
          <wp:docPr id="3" name="Image 3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C71B3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A9C1AE" wp14:editId="787813B6">
          <wp:simplePos x="0" y="0"/>
          <wp:positionH relativeFrom="column">
            <wp:posOffset>9038590</wp:posOffset>
          </wp:positionH>
          <wp:positionV relativeFrom="paragraph">
            <wp:posOffset>9937115</wp:posOffset>
          </wp:positionV>
          <wp:extent cx="1137285" cy="464185"/>
          <wp:effectExtent l="0" t="0" r="5715" b="0"/>
          <wp:wrapNone/>
          <wp:docPr id="2" name="Image 2" descr="Capture d’écran 2012-05-02 à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2-05-02 à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B3E">
      <w:rPr>
        <w:b/>
        <w:sz w:val="16"/>
        <w:szCs w:val="16"/>
        <w:u w:val="single"/>
      </w:rPr>
      <w:t>DCEPS</w:t>
    </w:r>
  </w:p>
  <w:p w14:paraId="7BF19082" w14:textId="77777777" w:rsidR="00F50D2A" w:rsidRPr="00A950A0" w:rsidRDefault="00006FA7" w:rsidP="0015101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6739" w14:textId="77777777" w:rsidR="00553493" w:rsidRDefault="00553493">
      <w:r>
        <w:separator/>
      </w:r>
    </w:p>
  </w:footnote>
  <w:footnote w:type="continuationSeparator" w:id="0">
    <w:p w14:paraId="3D12DA3B" w14:textId="77777777" w:rsidR="00553493" w:rsidRDefault="0055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19BC" w14:textId="77777777" w:rsidR="00F50D2A" w:rsidRPr="00C02647" w:rsidRDefault="0032196F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55C7E"/>
    <w:multiLevelType w:val="multilevel"/>
    <w:tmpl w:val="253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7419BE"/>
    <w:multiLevelType w:val="multilevel"/>
    <w:tmpl w:val="A43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6472A1"/>
    <w:multiLevelType w:val="multilevel"/>
    <w:tmpl w:val="D52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6F"/>
    <w:rsid w:val="00006FA7"/>
    <w:rsid w:val="00084BDE"/>
    <w:rsid w:val="001075B0"/>
    <w:rsid w:val="002B0050"/>
    <w:rsid w:val="0032196F"/>
    <w:rsid w:val="00357822"/>
    <w:rsid w:val="00412F16"/>
    <w:rsid w:val="004835B0"/>
    <w:rsid w:val="004F2721"/>
    <w:rsid w:val="00521F32"/>
    <w:rsid w:val="005254F7"/>
    <w:rsid w:val="00553493"/>
    <w:rsid w:val="0057361E"/>
    <w:rsid w:val="005E79CA"/>
    <w:rsid w:val="009D5D2A"/>
    <w:rsid w:val="00CF0683"/>
    <w:rsid w:val="00D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AE660D"/>
  <w15:chartTrackingRefBased/>
  <w15:docId w15:val="{2D1574A6-FD56-42FD-93C2-829B899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6F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1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21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4BD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lev">
    <w:name w:val="Strong"/>
    <w:basedOn w:val="Policepardfaut"/>
    <w:uiPriority w:val="22"/>
    <w:qFormat/>
    <w:rsid w:val="00084BDE"/>
    <w:rPr>
      <w:b/>
      <w:bCs/>
    </w:rPr>
  </w:style>
  <w:style w:type="character" w:styleId="Lienhypertexte">
    <w:name w:val="Hyperlink"/>
    <w:basedOn w:val="Policepardfaut"/>
    <w:uiPriority w:val="99"/>
    <w:unhideWhenUsed/>
    <w:rsid w:val="00084BD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lentshauts.fr/3-7-ans/175-la-declaration-des-droits-des-filles.html" TargetMode="External"/><Relationship Id="rId18" Type="http://schemas.openxmlformats.org/officeDocument/2006/relationships/hyperlink" Target="http://www.talentshauts.fr/contes-enfants/172-le-fils-des-geants.html" TargetMode="External"/><Relationship Id="rId26" Type="http://schemas.openxmlformats.org/officeDocument/2006/relationships/hyperlink" Target="http://www.talentshauts.fr/albums/1-la-princesse-et-le-dragon-978291623802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lentshauts.fr/albums/220-j-aime-pas-etre-belle-9782362661471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alentshauts.fr/contes-enfants/115-contes-d-un-autre-genre.html" TargetMode="External"/><Relationship Id="rId17" Type="http://schemas.openxmlformats.org/officeDocument/2006/relationships/hyperlink" Target="http://www.talentshauts.fr/albums/57-dinette-dans-le-tractopelle.html" TargetMode="External"/><Relationship Id="rId25" Type="http://schemas.openxmlformats.org/officeDocument/2006/relationships/hyperlink" Target="http://www.talentshauts.fr/lecteurs-intermediaires-/64-philo-mene-la-danse-9782362662133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alentshauts.fr/non-fiction/218-la-declaration-des-droits-des-papas-9782362661440.html" TargetMode="External"/><Relationship Id="rId20" Type="http://schemas.openxmlformats.org/officeDocument/2006/relationships/hyperlink" Target="http://www.talentshauts.fr/lecteurs-debutants/200-j-ai-mal-aux-maths.html" TargetMode="External"/><Relationship Id="rId29" Type="http://schemas.openxmlformats.org/officeDocument/2006/relationships/hyperlink" Target="http://www.talentshauts.fr/non-fiction/238-le-zizi-des-mots-2-978236266187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lentshauts.fr/albums/164-comme-une-princesse.html" TargetMode="External"/><Relationship Id="rId24" Type="http://schemas.openxmlformats.org/officeDocument/2006/relationships/hyperlink" Target="http://www.talentshauts.fr/lecteurs-debutants/182-la-patrouille-des-oies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alentshauts.fr/non-fiction/217-la-declaration-des-droits-des-mamans-9782362661433.html" TargetMode="External"/><Relationship Id="rId23" Type="http://schemas.openxmlformats.org/officeDocument/2006/relationships/hyperlink" Target="http://www.talentshauts.fr/albums/21-le-meilleur-cow-boy-de-l-ouest.html" TargetMode="External"/><Relationship Id="rId28" Type="http://schemas.openxmlformats.org/officeDocument/2006/relationships/hyperlink" Target="http://www.talentshauts.fr/non-fiction/197-le-zizi-des-mots.html" TargetMode="External"/><Relationship Id="rId10" Type="http://schemas.openxmlformats.org/officeDocument/2006/relationships/hyperlink" Target="http://www.talentshauts.fr/contes-enfants/213-blanche-neige-et-les-77-nains-9782362661372.html" TargetMode="External"/><Relationship Id="rId19" Type="http://schemas.openxmlformats.org/officeDocument/2006/relationships/hyperlink" Target="http://www.talentshauts.fr/albums/274-les-haikus-de-leira-9782362662379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lentshauts.fr/albums/260-alphonse-le-lion-qui-ne-pleurait-jamais-9782362662270.html" TargetMode="External"/><Relationship Id="rId14" Type="http://schemas.openxmlformats.org/officeDocument/2006/relationships/hyperlink" Target="http://www.talentshauts.fr/3-7-ans/176-la-declaration-des-droits-des-garcons.html" TargetMode="External"/><Relationship Id="rId22" Type="http://schemas.openxmlformats.org/officeDocument/2006/relationships/hyperlink" Target="http://www.talentshauts.fr/lecteurs-debutants/24-ma-mere-est-maire-9782362661730.html" TargetMode="External"/><Relationship Id="rId27" Type="http://schemas.openxmlformats.org/officeDocument/2006/relationships/hyperlink" Target="http://www.talentshauts.fr/albums/102-la-revolte-des-cocottes.html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talentshauts.fr/lecteurs-debutants/216-aime-9782362661488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Andrée Tronchon-Dietre</cp:lastModifiedBy>
  <cp:revision>8</cp:revision>
  <cp:lastPrinted>2022-06-14T11:00:00Z</cp:lastPrinted>
  <dcterms:created xsi:type="dcterms:W3CDTF">2020-10-23T12:49:00Z</dcterms:created>
  <dcterms:modified xsi:type="dcterms:W3CDTF">2022-06-14T14:01:00Z</dcterms:modified>
</cp:coreProperties>
</file>