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7284" w:rsidRDefault="008E7284">
      <w:pPr>
        <w:rPr>
          <w:sz w:val="28"/>
        </w:rPr>
      </w:pPr>
    </w:p>
    <w:p w:rsidR="0048203B" w:rsidRDefault="008E7284" w:rsidP="008E7284">
      <w:pPr>
        <w:jc w:val="center"/>
        <w:rPr>
          <w:color w:val="191B3B"/>
          <w:sz w:val="36"/>
          <w:szCs w:val="29"/>
          <w:shd w:val="clear" w:color="auto" w:fill="FFFFFF"/>
        </w:rPr>
      </w:pPr>
      <w:hyperlink r:id="rId6" w:tooltip="Articles traitant de Lutte contre les discriminations et promotion de l'égalité" w:history="1">
        <w:r w:rsidRPr="008E7284">
          <w:rPr>
            <w:rStyle w:val="Lienhypertexte"/>
            <w:color w:val="337AB7"/>
            <w:sz w:val="36"/>
            <w:szCs w:val="29"/>
            <w:u w:val="none"/>
            <w:shd w:val="clear" w:color="auto" w:fill="FFFFFF"/>
          </w:rPr>
          <w:t>Lutte contre les discriminations et promotion de l'égalité</w:t>
        </w:r>
      </w:hyperlink>
    </w:p>
    <w:p w:rsidR="008E7284" w:rsidRDefault="008E7284" w:rsidP="008E7284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/>
          <w:color w:val="191B3B"/>
          <w:sz w:val="22"/>
          <w:szCs w:val="22"/>
        </w:rPr>
      </w:pPr>
      <w:r w:rsidRPr="008E7284">
        <w:rPr>
          <w:rFonts w:asciiTheme="minorHAnsi" w:hAnsiTheme="minorHAnsi"/>
          <w:color w:val="191B3B"/>
          <w:sz w:val="22"/>
          <w:szCs w:val="22"/>
        </w:rPr>
        <w:t xml:space="preserve">De nombreux outils sont créés par </w:t>
      </w:r>
      <w:r w:rsidRPr="008E7284">
        <w:rPr>
          <w:rFonts w:asciiTheme="minorHAnsi" w:hAnsiTheme="minorHAnsi"/>
          <w:b/>
          <w:color w:val="191B3B"/>
          <w:sz w:val="22"/>
          <w:szCs w:val="22"/>
        </w:rPr>
        <w:t>le Défenseur des droits</w:t>
      </w:r>
      <w:r w:rsidRPr="008E7284">
        <w:rPr>
          <w:rFonts w:asciiTheme="minorHAnsi" w:hAnsiTheme="minorHAnsi"/>
          <w:color w:val="191B3B"/>
          <w:sz w:val="22"/>
          <w:szCs w:val="22"/>
        </w:rPr>
        <w:t xml:space="preserve"> pour promouvoir l'égalité et permettre à chacun de mieux connaître ses droits. </w:t>
      </w:r>
      <w:r w:rsidRPr="008E7284">
        <w:rPr>
          <w:rFonts w:asciiTheme="minorHAnsi" w:hAnsiTheme="minorHAnsi"/>
          <w:b/>
          <w:color w:val="191B3B"/>
          <w:sz w:val="22"/>
          <w:szCs w:val="22"/>
        </w:rPr>
        <w:t>Dépliants, affiches, jeux, guides, vidéos…</w:t>
      </w:r>
    </w:p>
    <w:p w:rsidR="008E7284" w:rsidRDefault="008E7284" w:rsidP="008E7284">
      <w:pPr>
        <w:jc w:val="both"/>
      </w:pPr>
      <w:r w:rsidRPr="008E7284">
        <w:t>Dans la cadre de sa mission de promotion de l'égalité, le Défenseur des droits mène des campagnes d'information pour sensibiliser à la lutte contre les discriminations, informer les usagers des services publics, faire comprendre leurs droits aux enfants…</w:t>
      </w:r>
    </w:p>
    <w:p w:rsidR="008E7284" w:rsidRDefault="008E7284" w:rsidP="008E7284">
      <w:r>
        <w:t xml:space="preserve">Télécharger les affiches, guide, dépliants, vidéos sur le site </w:t>
      </w:r>
      <w:bookmarkStart w:id="0" w:name="_GoBack"/>
      <w:bookmarkEnd w:id="0"/>
      <w:r>
        <w:fldChar w:fldCharType="begin"/>
      </w:r>
      <w:r>
        <w:instrText xml:space="preserve"> HYPERLINK "https://www.defenseurdesdroits.fr/fr/outils?tid=570" </w:instrText>
      </w:r>
      <w:r>
        <w:fldChar w:fldCharType="separate"/>
      </w:r>
      <w:r>
        <w:rPr>
          <w:rStyle w:val="Lienhypertexte"/>
        </w:rPr>
        <w:t>https://www.defenseurdesdroits.fr/fr/outils?tid=570</w:t>
      </w:r>
      <w:r>
        <w:fldChar w:fldCharType="end"/>
      </w:r>
    </w:p>
    <w:p w:rsidR="008E7284" w:rsidRDefault="008E7284" w:rsidP="008E7284">
      <w:pPr>
        <w:jc w:val="both"/>
      </w:pPr>
    </w:p>
    <w:p w:rsidR="008E7284" w:rsidRDefault="008E7284" w:rsidP="008E7284">
      <w:pPr>
        <w:jc w:val="both"/>
      </w:pPr>
      <w:r w:rsidRPr="008E7284">
        <w:drawing>
          <wp:inline distT="0" distB="0" distL="0" distR="0" wp14:anchorId="40B29CC2" wp14:editId="07F2921F">
            <wp:extent cx="5760720" cy="32004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284" w:rsidRDefault="008E7284" w:rsidP="008E7284">
      <w:pPr>
        <w:jc w:val="both"/>
      </w:pPr>
      <w:r w:rsidRPr="008E7284">
        <w:lastRenderedPageBreak/>
        <w:drawing>
          <wp:inline distT="0" distB="0" distL="0" distR="0" wp14:anchorId="3E81D117" wp14:editId="6A3669AB">
            <wp:extent cx="5760720" cy="32004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284" w:rsidRDefault="008E7284" w:rsidP="008E7284">
      <w:pPr>
        <w:jc w:val="both"/>
      </w:pPr>
      <w:r w:rsidRPr="008E7284">
        <w:drawing>
          <wp:inline distT="0" distB="0" distL="0" distR="0" wp14:anchorId="362C510B" wp14:editId="796921C6">
            <wp:extent cx="5760720" cy="32004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284" w:rsidRDefault="008E7284" w:rsidP="008E7284">
      <w:pPr>
        <w:jc w:val="both"/>
      </w:pPr>
      <w:r w:rsidRPr="008E7284">
        <w:lastRenderedPageBreak/>
        <w:drawing>
          <wp:inline distT="0" distB="0" distL="0" distR="0" wp14:anchorId="79926E17" wp14:editId="67DF319E">
            <wp:extent cx="5760720" cy="32004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284" w:rsidRDefault="008E7284" w:rsidP="008E7284">
      <w:pPr>
        <w:jc w:val="both"/>
      </w:pPr>
      <w:r w:rsidRPr="008E7284">
        <w:drawing>
          <wp:inline distT="0" distB="0" distL="0" distR="0" wp14:anchorId="45A17432" wp14:editId="257851BC">
            <wp:extent cx="5760720" cy="32004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284" w:rsidRDefault="008E7284" w:rsidP="008E7284">
      <w:pPr>
        <w:jc w:val="both"/>
      </w:pPr>
      <w:r w:rsidRPr="008E7284">
        <w:lastRenderedPageBreak/>
        <w:drawing>
          <wp:inline distT="0" distB="0" distL="0" distR="0" wp14:anchorId="596CADBC" wp14:editId="7E02976A">
            <wp:extent cx="5760720" cy="32004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284" w:rsidRPr="008E7284" w:rsidRDefault="008E7284" w:rsidP="008E7284">
      <w:pPr>
        <w:jc w:val="both"/>
      </w:pPr>
      <w:r w:rsidRPr="008E7284">
        <w:t>Dépliant - Discriminations liées à l’orientation sexuelle et l’identité de genre</w:t>
      </w:r>
    </w:p>
    <w:sectPr w:rsidR="008E7284" w:rsidRPr="008E7284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1EC1" w:rsidRDefault="00FA1EC1" w:rsidP="008E7284">
      <w:pPr>
        <w:spacing w:after="0" w:line="240" w:lineRule="auto"/>
      </w:pPr>
      <w:r>
        <w:separator/>
      </w:r>
    </w:p>
  </w:endnote>
  <w:endnote w:type="continuationSeparator" w:id="0">
    <w:p w:rsidR="00FA1EC1" w:rsidRDefault="00FA1EC1" w:rsidP="008E72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1EC1" w:rsidRDefault="00FA1EC1" w:rsidP="008E7284">
      <w:pPr>
        <w:spacing w:after="0" w:line="240" w:lineRule="auto"/>
      </w:pPr>
      <w:r>
        <w:separator/>
      </w:r>
    </w:p>
  </w:footnote>
  <w:footnote w:type="continuationSeparator" w:id="0">
    <w:p w:rsidR="00FA1EC1" w:rsidRDefault="00FA1EC1" w:rsidP="008E72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284" w:rsidRDefault="008E7284">
    <w:pPr>
      <w:pStyle w:val="En-tte"/>
    </w:pPr>
    <w:hyperlink r:id="rId1" w:history="1">
      <w:r>
        <w:rPr>
          <w:rStyle w:val="Lienhypertexte"/>
        </w:rPr>
        <w:t>https://www.defenseurdesdroits.fr/fr/guides/decision-cadre-relative-a-lidentite-de-genre</w:t>
      </w:r>
    </w:hyperlink>
  </w:p>
  <w:p w:rsidR="008E7284" w:rsidRDefault="008E7284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284"/>
    <w:rsid w:val="003D3CB6"/>
    <w:rsid w:val="008E7284"/>
    <w:rsid w:val="00FA1EC1"/>
    <w:rsid w:val="00FD3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15D402-F90B-4257-8473-4EFD165D9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8E7284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8E72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7284"/>
  </w:style>
  <w:style w:type="paragraph" w:styleId="Pieddepage">
    <w:name w:val="footer"/>
    <w:basedOn w:val="Normal"/>
    <w:link w:val="PieddepageCar"/>
    <w:uiPriority w:val="99"/>
    <w:unhideWhenUsed/>
    <w:rsid w:val="008E72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7284"/>
  </w:style>
  <w:style w:type="paragraph" w:styleId="NormalWeb">
    <w:name w:val="Normal (Web)"/>
    <w:basedOn w:val="Normal"/>
    <w:uiPriority w:val="99"/>
    <w:semiHidden/>
    <w:unhideWhenUsed/>
    <w:rsid w:val="008E72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309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defenseurdesdroits.fr/fr/theme/lutte-contre-les-discriminations-et-promotion-de-legalite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defenseurdesdroits.fr/fr/guides/decision-cadre-relative-a-lidentite-de-genr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149</Words>
  <Characters>825</Characters>
  <Application>Microsoft Office Word</Application>
  <DocSecurity>0</DocSecurity>
  <Lines>6</Lines>
  <Paragraphs>1</Paragraphs>
  <ScaleCrop>false</ScaleCrop>
  <Company>CCAS</Company>
  <LinksUpToDate>false</LinksUpToDate>
  <CharactersWithSpaces>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Magali Raymond</dc:creator>
  <cp:keywords/>
  <dc:description/>
  <cp:lastModifiedBy>Magali Raymond</cp:lastModifiedBy>
  <cp:revision>1</cp:revision>
  <dcterms:created xsi:type="dcterms:W3CDTF">2020-07-07T08:11:00Z</dcterms:created>
  <dcterms:modified xsi:type="dcterms:W3CDTF">2020-07-07T08:19:00Z</dcterms:modified>
</cp:coreProperties>
</file>